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ProMechGebV — Inkrafttreten</w:t>
      </w:r>
    </w:p>
    <w:p>
      <w:r>
        <w:rPr>
          <w:color w:val="555555"/>
          <w:sz w:val="18"/>
        </w:rPr>
        <w:t xml:space="preserve">Projekt-Mechanismen-Gebührenverordnung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die bis zum 10. August 2007 entstandenen Gebühren für individuell zurechenbare öffentliche Leistungen nach dem Projekt-Mechanismen-Gesetz gilt diese Verordnung in ihrer bis zum 10. August 2007 geltenden Fassung.</w:t>
      </w:r>
    </w:p>
    <w:p>
      <w:r>
        <w:rPr>
          <w:color w:val="555555"/>
          <w:sz w:val="17"/>
        </w:rPr>
        <w:t xml:space="preserve">Zitiervorschlag: § 4 ProMechGebV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https://recht.nulegal.eu/gesetze/ProMechGebV/4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