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ProMechGebV — Widerspruch</w:t>
      </w:r>
    </w:p>
    <w:p>
      <w:r>
        <w:rPr>
          <w:color w:val="555555"/>
          <w:sz w:val="18"/>
        </w:rPr>
        <w:t xml:space="preserve">Projekt-Mechanismen-Gebührenverordnung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Im Falle des Widerspruchs gegen eine Sachentscheidung der Behörde oder gegen deren Gebührenfestsetzung wird eine Gebühr nach Nummer 8 des Gebührenverzeichnisses erhoben, soweit der Widerspruch zurückgewiesen oder nach Beginn der sachlichen Bearbeitung zurückgenommen wird.</w:t>
      </w:r>
    </w:p>
    <w:p>
      <w:r>
        <w:rPr>
          <w:color w:val="555555"/>
          <w:sz w:val="17"/>
        </w:rPr>
        <w:t xml:space="preserve">Zitiervorschlag: § 2 ProMechGebV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https://recht.nulegal.eu/gesetze/ProMechGebV/2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