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ProMechGebV — Gebühren und Auslagen</w:t>
      </w:r>
    </w:p>
    <w:p>
      <w:r>
        <w:rPr>
          <w:color w:val="555555"/>
          <w:sz w:val="18"/>
        </w:rPr>
        <w:t xml:space="preserve">Projekt-Mechanismen-Gebührenverordnung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nach § 10 des Projekt-Mechanismen-Gesetzes zuständige Behörde erhebt für individuell zurechenbare öffentliche Leistungen nach dem Projekt-Mechanismen-Gesetz Gebühren nach dem Gebührenverzeichnis im Anhang zu dieser Verordnung. Dabei unterfallen der Projektkategorie 1 alle Projekttätigkeiten, bei deren Durchführung nach Maßgabe der Projektdokumentation nicht mehr als 50 000 Emissionsreduktionseinheiten oder zertifizierte Emissionsreduktionen pro Jahr erzeugt werden können. Alle anderen Projekttätigkeiten sind der Projektkategorie 2 zuzuordnen.</w:t>
      </w:r>
    </w:p>
    <w:p>
      <w:r>
        <w:t xml:space="preserve">(2) Für Leistungen nach Absatz 1 Satz 1 werden Auslagen nach § 23 Absatz 6 des Bundesgebührengesetzes erhoben.</w:t>
      </w:r>
    </w:p>
    <w:p>
      <w:r>
        <w:rPr>
          <w:color w:val="555555"/>
          <w:sz w:val="17"/>
        </w:rPr>
        <w:t xml:space="preserve">Zitiervorschlag: § 1 ProMechGebV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