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ProMechG — Überprüfungsgesuch</w:t>
      </w:r>
    </w:p>
    <w:p>
      <w:r>
        <w:rPr>
          <w:color w:val="555555"/>
          <w:sz w:val="18"/>
        </w:rPr>
        <w:t xml:space="preserve">Projekt-Mechanismen-Gesetz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kann, soweit die Voraussetzungen der Nummer 41 des Abschnitts G oder der Nummer 65 des Abschnitts J der Anlage des Beschlusses 17/CP.7 der Konferenz der Vertragsparteien des Übereinkommens vorliegen, ein Überprüfungsgesuch beim Exekutivrat einreichen. Der Projektträger ist hiervon unverzüglich zu unterrichten.</w:t>
      </w:r>
    </w:p>
    <w:p>
      <w:r>
        <w:rPr>
          <w:color w:val="555555"/>
          <w:sz w:val="17"/>
        </w:rPr>
        <w:t xml:space="preserve">Zitiervorschlag: § 9 ProMechG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