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ProMechG — Sachverständige Stellen</w:t>
      </w:r>
    </w:p>
    <w:p>
      <w:r>
        <w:rPr>
          <w:color w:val="555555"/>
          <w:sz w:val="18"/>
        </w:rPr>
        <w:t xml:space="preserve">Projekt-Mechanismen-Gesetz</w:t>
      </w:r>
    </w:p>
    <w:p>
      <w:r>
        <w:rPr>
          <w:color w:val="555555"/>
          <w:sz w:val="18"/>
        </w:rPr>
        <w:t xml:space="preserve">Stand: 01.07.2020 (konsolidierte Textfassung, kein amtliches Inkrafttretensdatum)</w:t>
      </w:r>
    </w:p>
    <w:p>
      <w:r>
        <w:t xml:space="preserve">(1) Zur Validierung und Verifizierung sind nur solche sachverständigen Stellen befugt, die durch den Exekutivrat oder den Aufsichtsausschuss akkreditiert und bekannt gegeben worden sind. Die sachverständigen Stellen werden vom Projektträger beauftragt. Sie sind verpflichtet, die Angaben des Projektträgers auf Richtigkeit und Vollständigkeit zu überprüfen sowie richtige und vollständige Angaben im Validierungs- und Verifizierungsbericht zu machen.</w:t>
      </w:r>
    </w:p>
    <w:p>
      <w:r>
        <w:t xml:space="preserve">(2) Das Bundesministerium für Umwelt, Naturschutz und nukleare Sicherheit kann im Einvernehmen mit dem Bundesministerium für Wirtschaft und Energie durch Rechtsverordnung, die nicht der Zustimmung des Bundesrates bedarf, unter Berücksichtigung der in Anhang A des Beschlusses 16/CP.7 der Konferenz der Vertragsparteien des Übereinkommens aufgestellten Anforderungen festlegen, dass auch andere als die in Absatz 1 genannten Stellen zur Validierung und Verifizierung befugt sind.</w:t>
      </w:r>
    </w:p>
    <w:p>
      <w:r>
        <w:t xml:space="preserve">(3) Bei der sach- und fachgerechten Erstellung des Validierungs- und Verifizierungsberichts sind die Vorgaben des Abschnitts E der Anlage des Beschlusses 16/CP.7 und die Abschnitte E, G und I der Anlage des Beschlusses 17/CP.7 der Konferenz der Vertragsparteien des Übereinkommens zu beachten. Das Bundesministerium für Umwelt, Naturschutz und nukleare Sicherheit kann im Einvernehmen mit dem Bundesministerium für Wirtschaft und Energie die Voraussetzungen und das Verfahren durch Rechtsverordnung, die nicht der Zustimmung des Bundesrates bedarf, regeln. Dabei ist sicherzustellen, dass bei der Verifizierung Doppelzählungen auf Grund unmittelbarer oder mittelbarer Emissionsminderungen und Doppelbegünstigungen ausgeschlossen werden.</w:t>
      </w:r>
    </w:p>
    <w:p>
      <w:r>
        <w:rPr>
          <w:color w:val="555555"/>
          <w:sz w:val="17"/>
        </w:rPr>
        <w:t xml:space="preserve">Zitiervorschlag: § 7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