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ProMechG — Bußgeldvorschriften</w:t>
      </w:r>
    </w:p>
    <w:p>
      <w:r>
        <w:rPr>
          <w:color w:val="555555"/>
          <w:sz w:val="18"/>
        </w:rPr>
        <w:t xml:space="preserve">Projekt-Mechanismen-Gesetz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leichtfertig entgegen § 6 Abs. 2 Satz 3 oder § 7 Abs. 1 Satz 3</w:t>
      </w:r>
    </w:p>
    <w:p>
      <w:pPr>
        <w:ind w:left="420"/>
      </w:pPr>
      <w:r>
        <w:t xml:space="preserve">1. im Überwachungsbericht oder im Validierungsbericht oder</w:t>
      </w:r>
    </w:p>
    <w:p>
      <w:pPr>
        <w:ind w:left="420"/>
      </w:pPr>
      <w:r>
        <w:t xml:space="preserve">2. im Verifizierungsbericht</w:t>
      </w:r>
    </w:p>
    <w:p>
      <w:r>
        <w:t xml:space="preserve">eine Angabe nicht richtig oder nicht vollständig macht.</w:t>
      </w:r>
    </w:p>
    <w:p>
      <w:r>
        <w:t xml:space="preserve">(2) Die Ordnungswidrigkeit kann in den Fällen des Absatzes 1 Nr. 2 mit einer Geldbuße bis zu hunderttausend Euro, in den übrigen Fällen mit einer Geldbuße bis zu fünfzigtausend Euro geahndet werden.</w:t>
      </w:r>
    </w:p>
    <w:p>
      <w:r>
        <w:rPr>
          <w:color w:val="555555"/>
          <w:sz w:val="17"/>
        </w:rPr>
        <w:t xml:space="preserve">Zitiervorschlag: § 15 ProMechG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https://recht.nulegal.eu/gesetze/ProMechG/15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