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ProMechG — Rechtsverordnung zu Zustimmungsvoraussetzungen</w:t>
      </w:r>
    </w:p>
    <w:p>
      <w:r>
        <w:rPr>
          <w:color w:val="555555"/>
          <w:sz w:val="18"/>
        </w:rPr>
        <w:t xml:space="preserve">Projekt-Mechanismen-Gesetz</w:t>
      </w:r>
    </w:p>
    <w:p>
      <w:r>
        <w:rPr>
          <w:color w:val="555555"/>
          <w:sz w:val="18"/>
        </w:rPr>
        <w:t xml:space="preserve">Stand: 01.07.2020 (konsolidierte Textfassung, kein amtliches Inkrafttretensdatum)</w:t>
      </w:r>
    </w:p>
    <w:p>
      <w:r>
        <w:t xml:space="preserve">Das Bundesministerium für Umwelt, Naturschutz und nukleare Sicherheit kann im Einvernehmen mit dem Bundesministerium für Wirtschaft und Energie und dem Bundesministerium für wirtschaftliche Zusammenarbeit und Entwicklung unter Beachtung der Beschlüsse 16/CP.7 und 17/CP.7 der Konferenz der Vertragsparteien des Übereinkommens durch Rechtsverordnung, die nicht der Zustimmung des Bundesrates bedarf, regeln, welche Anforderungen an das Vorliegen der einzelnen Zustimmungsvoraussetzungen des § 3 Abs.1, des § 5 Abs. 1 und des § 8 Abs.1 und Versagungsgründe des § 3 Abs. 2, des § 5 Abs. 2 und des § 8 Abs. 2 zu stellen sind.</w:t>
      </w:r>
    </w:p>
    <w:p>
      <w:r>
        <w:rPr>
          <w:color w:val="555555"/>
          <w:sz w:val="17"/>
        </w:rPr>
        <w:t xml:space="preserve">Zitiervorschlag: § 13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