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ProMechG — Anwendungsbereich</w:t>
      </w:r>
    </w:p>
    <w:p>
      <w:r>
        <w:rPr>
          <w:color w:val="555555"/>
          <w:sz w:val="18"/>
        </w:rPr>
        <w:t xml:space="preserve">Projekt-Mechanismen-Gesetz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die Erzeugung von Emissionsreduktionseinheiten und zertifizierten Emissionsreduktionen aus der Durchführung von Projekttätigkeiten im Sinne der Artikel 6 und 12 des Protokolls, an denen die Bundesrepublik Deutschland als Investor- oder Gastgeberstaat beteiligt werden soll.</w:t>
      </w:r>
    </w:p>
    <w:p>
      <w:r>
        <w:t xml:space="preserve">(2) Dieses Gesetz gilt nicht für die Erzeugung von Emissionsreduktionseinheiten und zertifizierten Emissionsreduktionen aus der Durchführung von Projekttätigkeiten, die Nuklearanlagen zum Gegenstand haben.</w:t>
      </w:r>
    </w:p>
    <w:p>
      <w:r>
        <w:rPr>
          <w:color w:val="555555"/>
          <w:sz w:val="17"/>
        </w:rPr>
        <w:t xml:space="preserve">Zitiervorschlag: § 1 ProMechG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