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PrfgZFrankrV — Berlin-Klausel</w:t>
      </w:r>
    </w:p>
    <w:p>
      <w:r>
        <w:rPr>
          <w:color w:val="555555"/>
          <w:sz w:val="18"/>
        </w:rPr>
        <w:t xml:space="preserve">Verordnung zur Gleichstellung französischer Prüfungszeugnisse mit Zeugnissen über das Bestehen der Abschlußprüfung oder Gesellenprüfung in anerkannten Ausbildungsberufen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nach § 14 des Dritten Überleitungsgesetzes in Verbindung mit § 112 des Berufsbildungsgesetzes auch im Land Berlin.</w:t>
      </w:r>
    </w:p>
    <w:p>
      <w:r>
        <w:rPr>
          <w:color w:val="555555"/>
          <w:sz w:val="17"/>
        </w:rPr>
        <w:t xml:space="preserve">Zitiervorschlag: § 2 PrfgZFrankrV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https://recht.nulegal.eu/gesetze/PrfgZFrankrV/2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