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PrfgZFortbAUTV — Inkrafttreten</w:t>
      </w:r>
    </w:p>
    <w:p>
      <w:r>
        <w:rPr>
          <w:color w:val="555555"/>
          <w:sz w:val="18"/>
        </w:rPr>
        <w:t xml:space="preserve">Verordnung über die Gleichstellung österreichischer Prüfungszeugnisse mit Zeugnissen über anerkannte Fortbildungsabschlüsse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PrfgZFortbAUTV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https://recht.nulegal.eu/gesetze/PrfgZFortbAUTV/3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