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PrfgZAUTV</w:t>
      </w:r>
    </w:p>
    <w:p>
      <w:r>
        <w:rPr>
          <w:color w:val="555555"/>
          <w:sz w:val="18"/>
        </w:rPr>
        <w:t xml:space="preserve">Verordnung zur Gleichstellung österreichischer Prüfungszeugnisse mit Zeugnissen über das Bestehen der Abschlußprüfung oder Gesellenprüfung in anerkannten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43 Abs. 2 des Berufsbildungsgesetzes vom 14. August 1969 (BGBl. I S. 1112), der durch Artikel 53 Nr. 2 des Gesetzes vom 18. März 1975 (BGBl. I S. 705) geändert worden ist, und des § 40 Abs. 2 der Handwerksordnung in der Fassung der Bekanntmachung vom 28. Dezember 1965 (BGBl. 1966 I S. 1), der zuletzt durch Artikel 24 Nr. 1 des Gesetzes vom 18. März 1975 (BGBl. I S. 705) geändert worden ist, und nach Anhörung des Hauptausschusses des Bundesinstituts für Berufsbildung gemäß § 19 Nr. 1 des Berufsbildungsförderungsgesetzes vom 23. Dezember 1981 (BGBl. I S. 1692)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PrfgZAUTV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https://recht.nulegal.eu/gesetze/PrfgZAUTV/eingangsformel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