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PrfgZAUTV — Zweck der Verordnung</w:t>
      </w:r>
    </w:p>
    <w:p>
      <w:r>
        <w:rPr>
          <w:color w:val="555555"/>
          <w:sz w:val="18"/>
        </w:rPr>
        <w:t xml:space="preserve">Verordnung zur Gleichstellung österreichischer Prüfungszeugnisse mit Zeugnissen über das Bestehen der Abschlußprüfung oder Gesellenprüfung in anerkannten Ausbildungsberufen</w:t>
      </w:r>
    </w:p>
    <w:p>
      <w:r>
        <w:rPr>
          <w:color w:val="555555"/>
          <w:sz w:val="18"/>
        </w:rPr>
        <w:t xml:space="preserve">Stand: 10.06.2019 (konsolidierte Textfassung, kein amtliches Inkrafttretensdatum)</w:t>
      </w:r>
    </w:p>
    <w:p>
      <w:r>
        <w:t xml:space="preserve">Diese Verordnung dient der Umsetzung des Abkommens zwischen der Regierung der Bundesrepublik Deutschland und der Regierung der Republik Österreich über die Zusammenarbeit in der beruflichen Bildung und über die gegenseitige Anerkennung der Gleichwertigkeit von beruflichen Prüfungszeugnissen vom 27. November 1989 (BGBl. II 1991 S. 712).</w:t>
      </w:r>
    </w:p>
    <w:p>
      <w:r>
        <w:rPr>
          <w:color w:val="555555"/>
          <w:sz w:val="17"/>
        </w:rPr>
        <w:t xml:space="preserve">Zitiervorschlag: § 1 PrfgZAUTV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https://recht.nulegal.eu/gesetze/PrfgZAUTV/1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