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PreisStatGDV</w:t>
      </w:r>
    </w:p>
    <w:p>
      <w:r>
        <w:rPr>
          <w:color w:val="555555"/>
          <w:sz w:val="18"/>
        </w:rPr>
        <w:t xml:space="preserve">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13.03.2020. Dies ist nicht die aktuelle Fassung.</w:t>
      </w:r>
    </w:p>
    <w:p>
      <w:r>
        <w:t xml:space="preserve">Diese Verordnung gilt im Saarland von dem Zeitpunkt an, zu dem das Gesetz über die Preisstatistik im Saarland in Kraft tritt.</w:t>
      </w:r>
    </w:p>
    <w:p>
      <w:r>
        <w:rPr>
          <w:color w:val="555555"/>
          <w:sz w:val="17"/>
        </w:rPr>
        <w:t xml:space="preserve">Zitiervorschlag: § 4 PreisStatGDV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