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PreisStatGDV</w:t>
      </w:r>
    </w:p>
    <w:p>
      <w:r>
        <w:rPr>
          <w:color w:val="555555"/>
          <w:sz w:val="18"/>
        </w:rPr>
        <w:t xml:space="preserve">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13.03.2020. Dies ist nicht die aktuelle Fassung.</w:t>
      </w:r>
    </w:p>
    <w:p>
      <w:r>
        <w:t xml:space="preserve">(1) Die Statistik nach § 2 Nr. 1 des Gesetzes wird hinsichtlich</w:t>
      </w:r>
    </w:p>
    <w:p>
      <w:pPr>
        <w:ind w:left="420"/>
      </w:pPr>
      <w:r>
        <w:t xml:space="preserve">der Saatgutpreise auf allen Handelsstufen,der Erzeugerpreise für Erzeugnisse des Stahlbaus,der Verbraucherpreise für Pflanzenschutzmittel</w:t>
      </w:r>
    </w:p>
    <w:p>
      <w:r>
        <w:t xml:space="preserve">viermal jährlich durchgeführt.</w:t>
      </w:r>
    </w:p>
    <w:p>
      <w:r>
        <w:t xml:space="preserve">(2) Die Statistik nach § 2 Nr. 1 des Gesetzes wird hinsichtlich</w:t>
      </w:r>
    </w:p>
    <w:p>
      <w:pPr>
        <w:ind w:left="420"/>
      </w:pPr>
      <w:r>
        <w:t xml:space="preserve">der Erzeugerpreise für Zuckerrüben und inländischen Tabak</w:t>
      </w:r>
    </w:p>
    <w:p>
      <w:r>
        <w:t xml:space="preserve">einmal jährlich durchgeführt.</w:t>
      </w:r>
    </w:p>
    <w:p>
      <w:r>
        <w:t xml:space="preserve">(3) Die Statistik nach § 2 Nr. 2 des Gesetzes wird hinsichtlich der Preise für Bauleistungen vierteljährlich durchgeführt.</w:t>
      </w:r>
    </w:p>
    <w:p>
      <w:r>
        <w:t xml:space="preserve">(4) Die Statistik nach § 2 Nr. 1 des Gesetzes wird hinsichtlich der Einkaufspreise landwirtschaftlicher Betriebsmittel ab 1. Juli 1996 vierteljährlich durchgeführt.</w:t>
      </w:r>
    </w:p>
    <w:p>
      <w:r>
        <w:rPr>
          <w:color w:val="555555"/>
          <w:sz w:val="17"/>
        </w:rPr>
        <w:t xml:space="preserve">Zitiervorschlag: § 2 PreisStatGDV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