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PreisStatGDV</w:t>
      </w:r>
    </w:p>
    <w:p>
      <w:r>
        <w:rPr>
          <w:color w:val="555555"/>
          <w:sz w:val="18"/>
        </w:rPr>
        <w:t xml:space="preserve">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13.03.2020. Dies ist nicht die aktuelle Fassung.</w:t>
      </w:r>
    </w:p>
    <w:p>
      <w:r>
        <w:t xml:space="preserve">(1) Die Statistik nach § 2 Nr. 1 des Gesetzes wird hinsichtlich</w:t>
      </w:r>
    </w:p>
    <w:p>
      <w:pPr>
        <w:ind w:left="420"/>
      </w:pPr>
      <w:r>
        <w:t xml:space="preserve">der Erzeuger- und Großhandelspreise für Speisekartoffeln, Gemüse und Obst,der Preise für Schlacht-, Nutz- und Zuchtvieh an den Viehmärkten,der Preise für Seefische einschließlich Heringe auf allen Handelsstufen,der Notierungen für Nichteisenmetalle an den Metallmärkten</w:t>
      </w:r>
    </w:p>
    <w:p>
      <w:r>
        <w:t xml:space="preserve">an allen Tagen, an denen Umsätze stattfinden (Markttagen), durchgeführt.</w:t>
      </w:r>
    </w:p>
    <w:p>
      <w:r>
        <w:t xml:space="preserve">(2) Die Statistik nach § 2 Nr. 1 des Gesetzes wird hinsichtlich der Großhandelspreise für höchstens 30 Nahrungsmittel wöchentlich durchgeführt.</w:t>
      </w:r>
    </w:p>
    <w:p>
      <w:r>
        <w:t xml:space="preserve">(3) Die Statistik nach § 2 Nr. 1 des Gesetzes wird hinsichtlich</w:t>
      </w:r>
    </w:p>
    <w:p>
      <w:pPr>
        <w:ind w:left="420"/>
      </w:pPr>
      <w:r>
        <w:t xml:space="preserve">der Erzeugerpreise für Getreide,der Erzeuger- und Großhandelspreise für Eier,der Verbraucherpreise für Kartoffeln, Gemüse und Obst in den Monaten Mai bis Oktober</w:t>
      </w:r>
    </w:p>
    <w:p>
      <w:r>
        <w:t xml:space="preserve">zweimal monatlich durchgeführt.</w:t>
      </w:r>
    </w:p>
    <w:p>
      <w:r>
        <w:rPr>
          <w:color w:val="555555"/>
          <w:sz w:val="17"/>
        </w:rPr>
        <w:t xml:space="preserve">Zitiervorschlag: § 1 PreisStatGDV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