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PreisStatGDV 5</w:t>
      </w:r>
    </w:p>
    <w:p>
      <w:r>
        <w:rPr>
          <w:color w:val="555555"/>
          <w:sz w:val="18"/>
        </w:rPr>
        <w:t xml:space="preserve">Fünfte Verordnung zur Durchführung des Gesetzes über die Preisstatistik</w:t>
      </w:r>
    </w:p>
    <w:p>
      <w:r>
        <w:rPr>
          <w:color w:val="555555"/>
          <w:sz w:val="18"/>
        </w:rPr>
        <w:t xml:space="preserve">Historische Fassung: Stand 10.06.2019 bis 17.12.2019. Dies ist nicht die aktuelle Fassung.</w:t>
      </w:r>
    </w:p>
    <w:p>
      <w:r>
        <w:t xml:space="preserve">Die Statistik nach § 2 Nr. 1 des Gesetzes wird hinsichtlich der Einzelhandelspreise halbjährlich durchgeführt, soweit die Erhebungen für regionale Preisvergleiche bestimmt sind.</w:t>
      </w:r>
    </w:p>
    <w:p>
      <w:r>
        <w:rPr>
          <w:color w:val="555555"/>
          <w:sz w:val="17"/>
        </w:rPr>
        <w:t xml:space="preserve">Zitiervorschlag: § 1 PreisStatGDV 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https://recht.nulegal.eu/gesetze/PreisStatGDV%205/1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