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Statistik nach § 2 Nummer 4 erfasst die Mieten einschließlich Umlagen und Zuschläge für nach Arten und Merkmalen bezeichneten Wohnraum, Gewerberaum, Garagen und Stellplätze.</w:t>
      </w:r>
    </w:p>
    <w:p>
      <w:r>
        <w:t xml:space="preserve">(2) Auskunftspflichtig sind die Vertragsparteien. Die Erhebungen werden bei höchstens 38 000 Auskunftspflichtigen durchgeführt.</w:t>
      </w:r>
    </w:p>
    <w:p>
      <w:r>
        <w:rPr>
          <w:color w:val="555555"/>
          <w:sz w:val="17"/>
        </w:rPr>
        <w:t xml:space="preserve">Zitiervorschlag: § 6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