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Statistik nach § 2 Nr. 3 erfaßt die Preise und Entgelte für nach Arten und Merkmalen bezeichnete Leistungen und Nebenleistungen im Verkehr sowie die Entgelte für die Vercharterung von nach Arten bezeichneten Schiffen.</w:t>
      </w:r>
    </w:p>
    <w:p>
      <w:r>
        <w:t xml:space="preserve">(2) Auskunftspflichtig sind die Unternehmen und selbständig tätigen Personen, die Verkehrsleistungen erbringen oder vermitteln oder - in Fällen der Einfuhr von Gütern - in Anspruch nehmen, Schiffsmieten bezahlen oder erhalten sowie Behörden und Einrichtungen des Verkehrswesens.</w:t>
      </w:r>
    </w:p>
    <w:p>
      <w:r>
        <w:rPr>
          <w:color w:val="555555"/>
          <w:sz w:val="17"/>
        </w:rPr>
        <w:t xml:space="preserve">Zitiervorschlag: § 5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