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30.12.2022 (konsolidierte Textfassung, kein amtliches Inkrafttretensdatum)</w:t>
      </w:r>
    </w:p>
    <w:p>
      <w:r>
        <w:t xml:space="preserve">(1) Die Statistik nach § 2 Nr. 2 erfaßt die Preise und Entgelte für nach Arten und Merkmalen bezeichnete Werk- und Dienstleistungen.</w:t>
      </w:r>
    </w:p>
    <w:p>
      <w:r>
        <w:t xml:space="preserve">(1a) § 3 Absatz 1a gilt entsprechend.</w:t>
      </w:r>
    </w:p>
    <w:p>
      <w:r>
        <w:t xml:space="preserve">(2) Auskunftspflichtig sind die Unternehmen und selbständig tätigen Personen des Werk- und Dienstleistungsbereichs sowie Behörden und Einrichtungen. Die Erhebungen werden bei höchstens 22 000 Auskunftspflichtigen durchgeführt.</w:t>
      </w:r>
    </w:p>
    <w:p>
      <w:r>
        <w:rPr>
          <w:color w:val="555555"/>
          <w:sz w:val="17"/>
        </w:rPr>
        <w:t xml:space="preserve">Zitiervorschlag: § 4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