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Nr 7 PreisLS — Mengenansatz</w:t>
      </w:r>
    </w:p>
    <w:p>
      <w:r>
        <w:rPr>
          <w:color w:val="555555"/>
          <w:sz w:val="18"/>
        </w:rPr>
        <w:t xml:space="preserve">Leitsätze für die Preisermittlung auf Grund von Selbstkosten (Anlage zur Verordnung PR Nr. 30/53 vom 21. November 1953)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Abschnitt III nichts Abweichendes bestimmt, sind unter Berücksichtigung des Grundsatzes wirtschaftlicher Betriebsführung als Mengensätze zugrundezulegen</w:t>
      </w:r>
    </w:p>
    <w:p>
      <w:pPr>
        <w:ind w:left="420"/>
      </w:pPr>
      <w:r>
        <w:t xml:space="preserve">a) bei Preisvereinbarungen auf Grund von Vorkalkulationendie bei der Leistungserstellung zu verbrauchenden Güter und in Anspruch zu nehmenden Dienste, wie sie im Zeitpunkt der Angebotsabgabe voraussehbar sind,</w:t>
      </w:r>
    </w:p>
    <w:p>
      <w:pPr>
        <w:ind w:left="420"/>
      </w:pPr>
      <w:r>
        <w:t xml:space="preserve">b) bei Preisvereinbarungen auf Grund von Nachkalkulationendie bei der Leistungserstellung tatsächlich verbrauchten Güter und in Anspruch genommenen Dienste.</w:t>
      </w:r>
    </w:p>
    <w:p>
      <w:r>
        <w:t xml:space="preserve">(2) Bei Preisvereinbarungen auf der Grundlage der Vorkalkulation der Kosten einzelner und der Nachkalkulation der Kosten der übrigen Kalkulationsbereiche gelten die Bestimmungen des Absatzes 1 jeweils für die einzelnen Kalkulationsbereiche entsprechend.</w:t>
      </w:r>
    </w:p>
    <w:p>
      <w:r>
        <w:rPr>
          <w:color w:val="555555"/>
          <w:sz w:val="17"/>
        </w:rPr>
        <w:t xml:space="preserve">Zitiervorschlag: Nr 7 PreisLS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https://recht.nulegal.eu/gesetze/PreisLS/nr-7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