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6 PreisLS — Arten der Selbstkostenpreise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Preise auf Grund von Selbstkosten können ermittelt werden</w:t>
      </w:r>
    </w:p>
    <w:p>
      <w:pPr>
        <w:ind w:left="420"/>
      </w:pPr>
      <w:r>
        <w:t xml:space="preserve">a) durch Vorkalkulationen als Selbstkostenfestpreise oder Selbstkostenrichtpreise,</w:t>
      </w:r>
    </w:p>
    <w:p>
      <w:pPr>
        <w:ind w:left="420"/>
      </w:pPr>
      <w:r>
        <w:t xml:space="preserve">b) durch Nachkalkulationen als Selbstkostenerstattungspreise,</w:t>
      </w:r>
    </w:p>
    <w:p>
      <w:pPr>
        <w:ind w:left="420"/>
      </w:pPr>
      <w:r>
        <w:t xml:space="preserve">c) durch Vorkalkulationen der Kosten einzelner und durch Nachkalkulationen der Kosten der übrigen Kalkulationsbereiche.</w:t>
      </w:r>
    </w:p>
    <w:p>
      <w:r>
        <w:rPr>
          <w:color w:val="555555"/>
          <w:sz w:val="17"/>
        </w:rPr>
        <w:t xml:space="preserve">Zitiervorschlag: Nr 6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