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Nr 52 PreisLS — Höhe der Zurechnung</w:t>
      </w:r>
    </w:p>
    <w:p>
      <w:r>
        <w:rPr>
          <w:color w:val="555555"/>
          <w:sz w:val="18"/>
        </w:rPr>
        <w:t xml:space="preserve">Leitsätze für die Preisermittlung auf Grund von Selbstkosten (Anlage zur Verordnung PR Nr. 30/53 vom 21. November 1953)</w:t>
      </w:r>
    </w:p>
    <w:p>
      <w:r>
        <w:rPr>
          <w:color w:val="555555"/>
          <w:sz w:val="18"/>
        </w:rPr>
        <w:t xml:space="preserve">Stand: 12.04.2022 (konsolidierte Textfassung, kein amtliches Inkrafttretensdatum)</w:t>
      </w:r>
    </w:p>
    <w:p>
      <w:r>
        <w:t xml:space="preserve">(1) Das Entgelt für das allgemeine Unternehmerwagnis ist in einem Hundertsatz auf die Netto-Selbstkosten oder in einem festen Betrag zu bemessen. Das Bundesministerium für Wirtschaft und Energie kann hierfür Richt- oder Höchstsätze festlegen.</w:t>
      </w:r>
    </w:p>
    <w:p>
      <w:r>
        <w:t xml:space="preserve">(2) Ein Leistungsgewinn darf nur berechnet werden, wenn er zwischen Auftraggeber und Auftragnehmer vereinbart wurde.</w:t>
      </w:r>
    </w:p>
    <w:p>
      <w:r>
        <w:t xml:space="preserve">(3) Den Kostenträgern (absatzbestimmten Leistungen) ist der kalkulatorische Gewinn unmittelbar zuzurechnen.</w:t>
      </w:r>
    </w:p>
    <w:p>
      <w:r>
        <w:t xml:space="preserve">(4) Ist die Höhe des Entgelts für das allgemeine Unternehmerwagnis für die Leistung durch die Vertragsparteien nicht bestimmt, ist der übliche Gewinnzuschlag im Rahmen öffentlicher Aufträge vorzusehen.</w:t>
      </w:r>
    </w:p>
    <w:p>
      <w:r>
        <w:rPr>
          <w:color w:val="555555"/>
          <w:sz w:val="17"/>
        </w:rPr>
        <w:t xml:space="preserve">Zitiervorschlag: Nr 52 PreisLS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https://recht.nulegal.eu/gesetze/PreisLS/nr-52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