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50 PreisLS — Nachweis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eingetretenen Verluste oder Gewinne aus Wagniskosten sowie die verrechneten kalkulatorischen Wagniskosten sind unter Abstimmung mit der Buchführung laufend nachzuweisen.</w:t>
      </w:r>
    </w:p>
    <w:p>
      <w:r>
        <w:t xml:space="preserve">(2) Auftraggeber und Auftragnehmer können durch Vereinbarung den Ansatz einzelner Wagniskosten von einem besonderen Nachweis gegenüber dem Auftraggeber abhängig machen.</w:t>
      </w:r>
    </w:p>
    <w:p>
      <w:r>
        <w:rPr>
          <w:color w:val="555555"/>
          <w:sz w:val="17"/>
        </w:rPr>
        <w:t xml:space="preserve">Zitiervorschlag: Nr 50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