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Nr 5 PreisLS — Arten der Preisermittlung auf Grund von Selbstkosten</w:t>
      </w:r>
    </w:p>
    <w:p>
      <w:r>
        <w:rPr>
          <w:color w:val="555555"/>
          <w:sz w:val="18"/>
        </w:rPr>
        <w:t xml:space="preserve">Leitsätze für die Preisermittlung auf Grund von Selbstkosten (Anlage zur Verordnung PR Nr. 30/53 vom 21. November 1953)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dem Zeitpunkt sind zu unterscheiden:</w:t>
      </w:r>
    </w:p>
    <w:p>
      <w:pPr>
        <w:ind w:left="420"/>
      </w:pPr>
      <w:r>
        <w:t xml:space="preserve">a) Vorkalkulationen (Kalkulationen, die zeitlich der Leistungserstellung vorausgehen),</w:t>
      </w:r>
    </w:p>
    <w:p>
      <w:pPr>
        <w:ind w:left="420"/>
      </w:pPr>
      <w:r>
        <w:t xml:space="preserve">b) Nachkalkulationen (Kalkulationen, die zeitlich nach der Leistungserstellung durchgeführt werden).</w:t>
      </w:r>
    </w:p>
    <w:p>
      <w:r>
        <w:t xml:space="preserve">(2) Nach dem Verfahren sind zu unterscheiden:</w:t>
      </w:r>
    </w:p>
    <w:p>
      <w:pPr>
        <w:ind w:left="420"/>
      </w:pPr>
      <w:r>
        <w:t xml:space="preserve">a) Divisionsverfahren (Divisionsrechnungen, Äquivalenzziffernrechnungen),</w:t>
      </w:r>
    </w:p>
    <w:p>
      <w:pPr>
        <w:ind w:left="420"/>
      </w:pPr>
      <w:r>
        <w:t xml:space="preserve">b) Zuschlagsverfahren (Verrechnungssatzverfahren (Sortenrechnungen und Auftragsrechnungen)),</w:t>
      </w:r>
    </w:p>
    <w:p>
      <w:pPr>
        <w:ind w:left="420"/>
      </w:pPr>
      <w:r>
        <w:t xml:space="preserve">c) Mischformen von a) und b).</w:t>
      </w:r>
    </w:p>
    <w:p>
      <w:r>
        <w:rPr>
          <w:color w:val="555555"/>
          <w:sz w:val="17"/>
        </w:rPr>
        <w:t xml:space="preserve">Zitiervorschlag: Nr 5 PreisLS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https://recht.nulegal.eu/gesetze/PreisLS/nr-5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