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49 PreisLS — Ermittlung der kalkulatorischen Wagniskosten</w:t>
      </w:r>
    </w:p>
    <w:p>
      <w:r>
        <w:rPr>
          <w:color w:val="555555"/>
          <w:sz w:val="18"/>
        </w:rPr>
        <w:t xml:space="preserve">Leitsätze für die Preisermittlung auf Grund von Selbstkosten (Anlage zur Verordnung PR Nr. 30/53 vom 21. November 1953)</w:t>
      </w:r>
    </w:p>
    <w:p>
      <w:r>
        <w:rPr>
          <w:color w:val="555555"/>
          <w:sz w:val="18"/>
        </w:rPr>
        <w:t xml:space="preserve">Stand: 10.06.2019 (konsolidierte Textfassung, kein amtliches Inkrafttretensdatum)</w:t>
      </w:r>
    </w:p>
    <w:p>
      <w:r>
        <w:t xml:space="preserve">(1) Die kalkulatorischen Wagniskosten sind auf der Grundlage der tatsächlich entstandenen Verluste aus Wagnissen zu ermitteln. Soweit Verlusten aus Wagnissen entsprechende Gewinne gegenüberstehen, sind diese aufzurechnen. Der tatsächlichen Gefahrenlage im laufenden Abrechnungszeitabschnitt ist Rechnung zu tragen. Fehlen zuverlässige Unterlagen, so sind die kalkulatorischen Wagniskosten sorgfältig zu schätzen.</w:t>
      </w:r>
    </w:p>
    <w:p>
      <w:r>
        <w:t xml:space="preserve">(2) Für die Bemessung der Wagniskosten soll ein hinreichend langer, möglichst mehrjähriger Zeitabschnitt zugrunde gelegt werden. Dabei ist stets ein Ausgleich zwischen den kalkulatorischen Wagniskosten und den tatsächlichen Verlusten aus Wagnissen anzustreben.</w:t>
      </w:r>
    </w:p>
    <w:p>
      <w:r>
        <w:t xml:space="preserve">(3) Die Wagniskosten sind nach Wagnisarten und Kostenträgergruppen getrennt zu ermitteln und auszugleichen.</w:t>
      </w:r>
    </w:p>
    <w:p>
      <w:r>
        <w:t xml:space="preserve">(4) Klein- und Mittelbetriebe können in einer der Wirtschaftlichkeit der Rechnungsführung entsprechenden Weise die Erfassung und Verrechnung der Wagniskosten vereinfachen. Dabei sollen Mittelbetriebe mindestens die Wagniskosten nach Kostenträgergruppen aufteilen.</w:t>
      </w:r>
    </w:p>
    <w:p>
      <w:r>
        <w:rPr>
          <w:color w:val="555555"/>
          <w:sz w:val="17"/>
        </w:rPr>
        <w:t xml:space="preserve">Zitiervorschlag: Nr 49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