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47 PreisLS — Abgrenzung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Wagnis (Risiko) ist die Verlustgefahr, die sich aus der Natur des Unternehmens und seiner betrieblichen Tätigkeit ergibt.</w:t>
      </w:r>
    </w:p>
    <w:p>
      <w:r>
        <w:t xml:space="preserve">(2) Wagnisse, die das Unternehmen als Ganzes gefährden, die in seiner Eigenart, in den besonderen Bedingungen des Wirtschaftszweigs oder in wirtschaftlicher Tätigkeit schlechthin begründet sind, bilden das allgemeine Unternehmerwagnis.</w:t>
      </w:r>
    </w:p>
    <w:p>
      <w:r>
        <w:t xml:space="preserve">(3) Einzelwagnisse sind die mit der Leistungserstellung in den einzelnen Tätigkeitsgebieten des Betriebes verbundenen Verlustgefahren.</w:t>
      </w:r>
    </w:p>
    <w:p>
      <w:r>
        <w:rPr>
          <w:color w:val="555555"/>
          <w:sz w:val="17"/>
        </w:rPr>
        <w:t xml:space="preserve">Zitiervorschlag: Nr 47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