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45 PreisLS — Wertansatz des betriebsnotwendigen Vermögens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12.04.2022 (konsolidierte Textfassung, kein amtliches Inkrafttretensdatum)</w:t>
      </w:r>
    </w:p>
    <w:p>
      <w:r>
        <w:t xml:space="preserve">(1) Das Anlagevermögen ist mit dem kalkulatorischen Restwert nach Maßgabe der Vorschriften für die Abschreibungen zu Anschaffungs- oder Herstellkosten anzusetzen (vgl. Nummer 37ff.).</w:t>
      </w:r>
    </w:p>
    <w:p>
      <w:r>
        <w:t xml:space="preserve">(2) Die Gegenstände des Umlaufvermögens sind auf der Grundlage von Anschaffungspreisen oder Herstellkosten zu bewerten.</w:t>
      </w:r>
    </w:p>
    <w:p>
      <w:r>
        <w:t xml:space="preserve">(3) In den Beständen enthaltene unbrauchbare oder entwertete Stoffe oder ebensolche halbfertige oder fertige Erzeugnisse sind abzusetzen oder mit angemessenen Restwerten zu berücksichtigen.</w:t>
      </w:r>
    </w:p>
    <w:p>
      <w:r>
        <w:t xml:space="preserve">(4) Wertpapiere und Forderungen in fremder Währung sind mit den Kursen zu bewerten, die an den für die Berechnung des betriebsnotwendigen Vermögens maßgebenden Stichtagen gelten.</w:t>
      </w:r>
    </w:p>
    <w:p>
      <w:r>
        <w:t xml:space="preserve">(5) Die übrigen Teile des Umlaufvermögens sind mit den Werten anzusetzen, die ihnen an den für die Berechnung maßgebenden Stichtagen beizumessen sind.</w:t>
      </w:r>
    </w:p>
    <w:p>
      <w:r>
        <w:t xml:space="preserve">(6) Bei der Ermittlung des betriebsnotwendigen Kapitals sind, soweit nicht Bestimmungen der Absätze 1 bis 5 entgegenstehen, die Wertberichtigungsposten der Kapitalseite von den Buchwerten der Vermögensseite der Bilanz abzusetzen.</w:t>
      </w:r>
    </w:p>
    <w:p>
      <w:r>
        <w:rPr>
          <w:color w:val="555555"/>
          <w:sz w:val="17"/>
        </w:rPr>
        <w:t xml:space="preserve">Zitiervorschlag: Nr 45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