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Nr 43 PreisLS — Bemessung</w:t>
      </w:r>
    </w:p>
    <w:p>
      <w:r>
        <w:rPr>
          <w:color w:val="555555"/>
          <w:sz w:val="18"/>
        </w:rPr>
        <w:t xml:space="preserve">Leitsätze für die Preisermittlung auf Grund von Selbstkosten (Anlage zur Verordnung PR Nr. 30/53 vom 21. November 1953)</w:t>
      </w:r>
    </w:p>
    <w:p>
      <w:r>
        <w:rPr>
          <w:color w:val="555555"/>
          <w:sz w:val="18"/>
        </w:rPr>
        <w:t xml:space="preserve">Stand: 12.04.2022 (konsolidierte Textfassung, kein amtliches Inkrafttretensdatum)</w:t>
      </w:r>
    </w:p>
    <w:p>
      <w:r>
        <w:t xml:space="preserve">(1) Für die Bereitstellung des betriebsnotwendigen Kapitals können kalkulatorische Zinsen angesetzt werden. Sie sind in der Betriebsrechnung gesondert auszuweisen.</w:t>
      </w:r>
    </w:p>
    <w:p>
      <w:r>
        <w:t xml:space="preserve">(2) Für kalkulatorische Zinsen setzt das Bundesministerium für Wirtschaft und Energie im Einvernehmen mit dem Bundesministerium der Finanzen einen Höchstsatz fest.</w:t>
      </w:r>
    </w:p>
    <w:p>
      <w:r>
        <w:t xml:space="preserve">(3) Die für Fremdkapital tatsächlich entstandenen Aufwendungen (Zinsen, Bankprovisionen und dgl.) bleiben bei der Preisermittlung außer Ansatz, soweit sie nicht als Kosten des Zahlungsverkehrs gemäß Nummer 34 berücksichtigt werden.</w:t>
      </w:r>
    </w:p>
    <w:p>
      <w:r>
        <w:t xml:space="preserve">(4) Nebenerträge aus Teilen des betriebsnotwendigen Kapitals (z.B. Zinsen, Mieten, Pachten) sind als Gutschriften zu behandeln.</w:t>
      </w:r>
    </w:p>
    <w:p>
      <w:r>
        <w:rPr>
          <w:color w:val="555555"/>
          <w:sz w:val="17"/>
        </w:rPr>
        <w:t xml:space="preserve">Zitiervorschlag: Nr 43 PreisLS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https://recht.nulegal.eu/gesetze/PreisLS/nr-43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