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41 PreisLS — Sonderabschreibungen</w:t>
      </w:r>
    </w:p>
    <w:p>
      <w:r>
        <w:rPr>
          <w:color w:val="555555"/>
          <w:sz w:val="18"/>
        </w:rPr>
        <w:t xml:space="preserve">Leitsätze für die Preisermittlung auf Grund von Selbstkosten (Anlage zur Verordnung PR Nr. 30/53 vom 21. November 1953)</w:t>
      </w:r>
    </w:p>
    <w:p>
      <w:r>
        <w:rPr>
          <w:color w:val="555555"/>
          <w:sz w:val="18"/>
        </w:rPr>
        <w:t xml:space="preserve">Stand: 10.06.2019 (konsolidierte Textfassung, kein amtliches Inkrafttretensdatum)</w:t>
      </w:r>
    </w:p>
    <w:p>
      <w:r>
        <w:t xml:space="preserve">Der Ansatz höherer Anlageabschreibungen als gemäß Nummer 38 bis 40 zum Ausgleich einer ursprünglich nicht voraussehbaren technischen Entwicklung oder Bedarfsverschiebung oder aus anderem Anlaß (Sonderabschreibungen) ist nur zulässig, wenn er mit dem Auftraggeber ausdrücklich vereinbart worden ist. Abschreibungssätze gemäß Satz 1 sind gesondert auszuweisen.</w:t>
      </w:r>
    </w:p>
    <w:p>
      <w:r>
        <w:rPr>
          <w:color w:val="555555"/>
          <w:sz w:val="17"/>
        </w:rPr>
        <w:t xml:space="preserve">Zitiervorschlag: Nr 41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