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Nr 35 PreisLS — Vertreterprovisionen</w:t>
      </w:r>
    </w:p>
    <w:p>
      <w:r>
        <w:rPr>
          <w:color w:val="555555"/>
          <w:sz w:val="18"/>
        </w:rPr>
        <w:t xml:space="preserve">Leitsätze für die Preisermittlung auf Grund von Selbstkosten (Anlage zur Verordnung PR Nr. 30/53 vom 21. November 1953)</w:t>
      </w:r>
    </w:p>
    <w:p>
      <w:r>
        <w:rPr>
          <w:color w:val="555555"/>
          <w:sz w:val="18"/>
        </w:rPr>
        <w:t xml:space="preserve">Stand: 10.06.2019 (konsolidierte Textfassung, kein amtliches Inkrafttretensdatum)</w:t>
      </w:r>
    </w:p>
    <w:p>
      <w:r>
        <w:t xml:space="preserve">(1) Eine Provision oder ähnliche Vergütung an einen Handelsvertreter darf in voller Höhe nur berücksichtigt werden, wenn bei Vorbereitung, Abschluß oder Abwicklung des öffentlichen Auftrags die Mitarbeit des Handelsvertreters notwendig ist und wenn sie sich in angemessenen Grenzen hält; den Absatzverhältnissen des Auftragnehmers soll dabei gebührend Rechnung getragen werden. In allen übrigen Fällen ist ein angemessener Abschlag vorzunehmen.</w:t>
      </w:r>
    </w:p>
    <w:p>
      <w:r>
        <w:t xml:space="preserve">(2) Die Höhe der in Selbstkostenpreisen anrechenbaren Provisionen und ähnlichen Vergütungen an Handelsvertreter kann durch Vereinbarung zwischen Auftraggeber und Auftragnehmer begrenzt werden.</w:t>
      </w:r>
    </w:p>
    <w:p>
      <w:r>
        <w:t xml:space="preserve">(3) Provisionen und ähnliche Vergütungen sind in den Kalkulationen gesondert auszuweisen.</w:t>
      </w:r>
    </w:p>
    <w:p>
      <w:r>
        <w:rPr>
          <w:color w:val="555555"/>
          <w:sz w:val="17"/>
        </w:rPr>
        <w:t xml:space="preserve">Zitiervorschlag: Nr 35 PreisLS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https://recht.nulegal.eu/gesetze/PreisLS/nr-35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