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34 PreisLS — Mengenansatz und Bewertung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Bemessung sonstiger Kostenarten, insbesondere der</w:t>
      </w:r>
    </w:p>
    <w:p>
      <w:pPr>
        <w:ind w:left="420"/>
      </w:pPr>
      <w:r>
        <w:t xml:space="preserve">Mieten und PachtenBürokostenWerbe- und RepräsentationskostenTransportkostenKosten des Zahlungsverkehrs</w:t>
      </w:r>
    </w:p>
    <w:p>
      <w:r>
        <w:t xml:space="preserve">gelten die Nummern 4 und 16 bis 21 sinngemäß.</w:t>
      </w:r>
    </w:p>
    <w:p>
      <w:r>
        <w:rPr>
          <w:color w:val="555555"/>
          <w:sz w:val="17"/>
        </w:rPr>
        <w:t xml:space="preserve">Zitiervorschlag: Nr 34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