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Nr 33 PreisLS — Ansatz und Verrechnung</w:t>
      </w:r>
    </w:p>
    <w:p>
      <w:r>
        <w:rPr>
          <w:color w:val="555555"/>
          <w:sz w:val="18"/>
        </w:rPr>
        <w:t xml:space="preserve">Leitsätze für die Preisermittlung auf Grund von Selbstkosten (Anlage zur Verordnung PR Nr. 30/53 vom 21. November 1953)</w:t>
      </w:r>
    </w:p>
    <w:p>
      <w:r>
        <w:rPr>
          <w:color w:val="555555"/>
          <w:sz w:val="18"/>
        </w:rPr>
        <w:t xml:space="preserve">Stand: 10.06.2019 (konsolidierte Textfassung, kein amtliches Inkrafttretensdatum)</w:t>
      </w:r>
    </w:p>
    <w:p>
      <w:r>
        <w:t xml:space="preserve">(1) Lizenzgebühren sind insoweit Kosten im Sinne dieser Leitsätze, als sie in angemessenem Verhältnis zu Umsatzmenge und Verkaufspreis der Leistungen stehen. Die für die Verrechnung von Lizenzgebühren in Betracht kommenden Lizenzverträge sind dem Auftraggeber auf Verlangen zur Einsicht vorzulegen.</w:t>
      </w:r>
    </w:p>
    <w:p>
      <w:r>
        <w:t xml:space="preserve">(2) Ausgaben zum Erwerb von Fremdpatenten sind zu aktivieren und kalkulatorisch abzuschreiben oder periodisch abzugrenzen und ratenweise als Kosten zu verrechnen.</w:t>
      </w:r>
    </w:p>
    <w:p>
      <w:r>
        <w:t xml:space="preserve">(3) Lizenzgebühren, sowie Gebühren für den gewerblichen Rechtsschutz, Fremd- und Eigenpatentkosten sind in den Kalkulationen als Sonderkosten auszuweisen, sofern sie bestimmte Erzeugnisse oder Erzeugnisgruppen betreffen.</w:t>
      </w:r>
    </w:p>
    <w:p>
      <w:r>
        <w:rPr>
          <w:color w:val="555555"/>
          <w:sz w:val="17"/>
        </w:rPr>
        <w:t xml:space="preserve">Zitiervorschlag: Nr 33 PreisLS</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https://recht.nulegal.eu/gesetze/PreisLS/nr-33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