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32 PreisLS — Gebühren und Beiträge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Pflichtgebühren und Pflichtbeiträge sind Kosten, soweit sie für betriebliche Zwecke aufgewendet werden.</w:t>
      </w:r>
    </w:p>
    <w:p>
      <w:r>
        <w:t xml:space="preserve">(2) Nicht auf gesetzlichen Verpflichtungen beruhende Beiträge oder Zuwendungen an Vereinigungen und Körperschaften, die dem Betriebsinteresse dienen, können in angemessener Höhe berücksichtigt werden.</w:t>
      </w:r>
    </w:p>
    <w:p>
      <w:r>
        <w:rPr>
          <w:color w:val="555555"/>
          <w:sz w:val="17"/>
        </w:rPr>
        <w:t xml:space="preserve">Zitiervorschlag: Nr 32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