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30 PreisLS — Steuern</w:t>
      </w:r>
    </w:p>
    <w:p>
      <w:r>
        <w:rPr>
          <w:color w:val="555555"/>
          <w:sz w:val="18"/>
        </w:rPr>
        <w:t xml:space="preserve">Leitsätze für die Preisermittlung auf Grund von Selbstkosten (Anlage zur Verordnung PR Nr. 30/53 vom 21. November 1953)</w:t>
      </w:r>
    </w:p>
    <w:p>
      <w:r>
        <w:rPr>
          <w:color w:val="555555"/>
          <w:sz w:val="18"/>
        </w:rPr>
        <w:t xml:space="preserve">Stand: 15.06.2022 (konsolidierte Textfassung, kein amtliches Inkrafttretensdatum)</w:t>
      </w:r>
    </w:p>
    <w:p>
      <w:r>
        <w:t xml:space="preserve">Für die Zwecke der Preisermittlung auf Grund von Selbstkosten sind zu unterscheiden</w:t>
      </w:r>
    </w:p>
    <w:p>
      <w:pPr>
        <w:ind w:left="420"/>
      </w:pPr>
      <w:r>
        <w:t xml:space="preserve">a) Steuern, die Kosten im Sinne dieser Leitsätze sind (kalkulierbare Steuern), insbesonderedie Gewerbesteuer, die Vermögensteuer, die Grundsteuer und die Kraftfahrzeugsteuer.Als Sonderkosten sind in den Kalkulationen auszuweisen</w:t>
      </w:r>
    </w:p>
    <w:p>
      <w:pPr>
        <w:ind w:left="780"/>
      </w:pPr>
      <w:r>
        <w:t xml:space="preserve">aa) die auf den Lieferungen und sonstigen Leistungen des Auftragnehmers lastende Umsatzsteuer ohne Abzug der nach dem Umsatzsteuergesetz abziehbaren Steuern und Beträge. Die an die Lieferungen und sonstigen Leistungen des Auftragnehmers gebundenen Umsatzsteuerminderungen sind zu berücksichtigen;</w:t>
      </w:r>
    </w:p>
    <w:p>
      <w:pPr>
        <w:ind w:left="780"/>
      </w:pPr>
      <w:r>
        <w:t xml:space="preserve">bb) besondere auf dem Erzeugnis lastende Verbrauchsteuern.</w:t>
      </w:r>
    </w:p>
    <w:p>
      <w:pPr>
        <w:ind w:left="420"/>
      </w:pPr>
      <w:r>
        <w:t xml:space="preserve">b) Steuern, die nicht Kosten im Sinne dieser Leitsätze sind (nicht kalkulierbare Steuern), insbesondere die Einkommen-, Körperschaft- und Kirchensteuer, die Erbschaft- und Schenkungsteuer.</w:t>
      </w:r>
    </w:p>
    <w:p>
      <w:r>
        <w:rPr>
          <w:color w:val="555555"/>
          <w:sz w:val="17"/>
        </w:rPr>
        <w:t xml:space="preserve">Zitiervorschlag: Nr 30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