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3 PreisLS — Erklärung des Auftragnehmers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öffentliche Auftraggeber kann vom Auftragnehmer eine Erklärung darüber verlangen,</w:t>
      </w:r>
    </w:p>
    <w:p>
      <w:pPr>
        <w:ind w:left="420"/>
      </w:pPr>
      <w:r>
        <w:t xml:space="preserve">a) daß die in der Preisermittlung auf Grund von Selbstkosten angesetzten Preise und Entgelte den preisrechtlichen Vorschriften entsprechen und</w:t>
      </w:r>
    </w:p>
    <w:p>
      <w:pPr>
        <w:ind w:left="420"/>
      </w:pPr>
      <w:r>
        <w:t xml:space="preserve">b) daß die Preisermittlung auf Grund von Selbstkosten nach diesen Leitsätzen vorgenommen wurde.</w:t>
      </w:r>
    </w:p>
    <w:p>
      <w:r>
        <w:rPr>
          <w:color w:val="555555"/>
          <w:sz w:val="17"/>
        </w:rPr>
        <w:t xml:space="preserve">Zitiervorschlag: Nr 3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