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29 PreisLS — Ansatz</w:t>
      </w:r>
    </w:p>
    <w:p>
      <w:r>
        <w:rPr>
          <w:color w:val="555555"/>
          <w:sz w:val="18"/>
        </w:rPr>
        <w:t xml:space="preserve">Leitsätze für die Preisermittlung auf Grund von Selbstkosten (Anlage zur Verordnung PR Nr. 30/53 vom 21. November 1953)</w:t>
      </w:r>
    </w:p>
    <w:p>
      <w:r>
        <w:rPr>
          <w:color w:val="555555"/>
          <w:sz w:val="18"/>
        </w:rPr>
        <w:t xml:space="preserve">Stand: 10.06.2019 (konsolidierte Textfassung, kein amtliches Inkrafttretensdatum)</w:t>
      </w:r>
    </w:p>
    <w:p>
      <w:r>
        <w:t xml:space="preserve">Soweit bei einem Auftrag zusätzliche, im Regelfall nicht vorkommende Stoffkosten und Fertigungskosten anfallen, z.B. durch amtliche Abnahme, durch Überstunden und Sonntagsarbeit, durch das Anlaufen einer neuartigen Fertigung, durch das Anlernen neuer Arbeitskräfte oder durch Bauartänderungen auf Veranlassung des Auftraggebers, sind diese in der Kostenrechnung und in den Kalkulationen gesondert auszuweisen.</w:t>
      </w:r>
    </w:p>
    <w:p>
      <w:r>
        <w:rPr>
          <w:color w:val="555555"/>
          <w:sz w:val="17"/>
        </w:rPr>
        <w:t xml:space="preserve">Zitiervorschlag: Nr 29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