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26 PreisLS — Ansatz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 für laufende Instandhaltung und Instandsetzung von Betriebsbauten, Betriebseinrichtungen, Maschinen, Vorrichtungen, Werkzeugen und dgl. sind Kosten. Sofern diese Kosten stoßweise anfallen, sind sie dem Verbrauch entsprechend ratenweise zu verrechnen (Quoten- und Ratenrechnung).</w:t>
      </w:r>
    </w:p>
    <w:p>
      <w:r>
        <w:t xml:space="preserve">(2) Instandsetzungskosten sind für die Benutzungsdauer des Anlagegegenstands in den Abschreibungen zu verrechnen,</w:t>
      </w:r>
    </w:p>
    <w:p>
      <w:pPr>
        <w:ind w:left="420"/>
      </w:pPr>
      <w:r>
        <w:t xml:space="preserve">a) sofern durch die Instandsetzung der Wert des Anlagegegenstands gegenüber demjenigen im Zeitpunkt seiner Anschaffung wesentlich erhöht wird (werterhöhende Instandsetzung) oder</w:t>
      </w:r>
    </w:p>
    <w:p>
      <w:pPr>
        <w:ind w:left="420"/>
      </w:pPr>
      <w:r>
        <w:t xml:space="preserve">b) sofern die Instandsetzung bezweckt, die Lebensdauer des Anlagegegenstands über die ursprüngliche technisch bedingte Lebensdauer hinaus (vgl. Nummer 39 Absatz 1) zu verlängern.</w:t>
      </w:r>
    </w:p>
    <w:p>
      <w:r>
        <w:rPr>
          <w:color w:val="555555"/>
          <w:sz w:val="17"/>
        </w:rPr>
        <w:t xml:space="preserve">Zitiervorschlag: Nr 26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