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25 PreisLS — Sozialkosten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Sozialkosten sind zu gliedern in</w:t>
      </w:r>
    </w:p>
    <w:p>
      <w:pPr>
        <w:ind w:left="420"/>
      </w:pPr>
      <w:r>
        <w:t xml:space="preserve">a) gesetzliche Sozialaufwendungen wie Arbeitgeberbeiträge zur Sozialversicherung (Renten-, Arbeitslosen-, Kranken-, Pflege- und Unfallversicherung),</w:t>
      </w:r>
    </w:p>
    <w:p>
      <w:pPr>
        <w:ind w:left="420"/>
      </w:pPr>
      <w:r>
        <w:t xml:space="preserve">b) tarifliche Sozialaufwendungen,</w:t>
      </w:r>
    </w:p>
    <w:p>
      <w:pPr>
        <w:ind w:left="420"/>
      </w:pPr>
      <w:r>
        <w:t xml:space="preserve">c) zusätzliche Sozialaufwendungen zugunsten der Belegschaft.</w:t>
      </w:r>
    </w:p>
    <w:p>
      <w:r>
        <w:t xml:space="preserve">(2) Angesetzt werden dürfen</w:t>
      </w:r>
    </w:p>
    <w:p>
      <w:pPr>
        <w:ind w:left="420"/>
      </w:pPr>
      <w:r>
        <w:t xml:space="preserve">a) die gesetzlichen und tariflichen Sozialaufwendungen in tatsächlicher Höhe,</w:t>
      </w:r>
    </w:p>
    <w:p>
      <w:pPr>
        <w:ind w:left="420"/>
      </w:pPr>
      <w:r>
        <w:t xml:space="preserve">b) die zusätzlichen Sozialaufwendungen, soweit sie nach Art und Höhe betriebs- oder branchenüblich sind und dem Grundsatz wirtschaftlicher Betriebsführung entsprechen.</w:t>
      </w:r>
    </w:p>
    <w:p>
      <w:r>
        <w:rPr>
          <w:color w:val="555555"/>
          <w:sz w:val="17"/>
        </w:rPr>
        <w:t xml:space="preserve">Zitiervorschlag: Nr 25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