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Nr 23 PreisLS — Ansatz</w:t>
      </w:r>
    </w:p>
    <w:p>
      <w:r>
        <w:rPr>
          <w:color w:val="555555"/>
          <w:sz w:val="18"/>
        </w:rPr>
        <w:t xml:space="preserve">Leitsätze für die Preisermittlung auf Grund von Selbstkosten (Anlage zur Verordnung PR Nr. 30/53 vom 21. November 1953)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In den Vor- und Nachkalkulationen dürfen Löhne, Gehälter und andere Personalkosten nach Art und Umfang nur insoweit berücksichtigt werden, als sie den Grundsätzen wirtschaftlicher Betriebsführung entsprechen (vgl. Nummer 4).</w:t>
      </w:r>
    </w:p>
    <w:p>
      <w:r>
        <w:rPr>
          <w:color w:val="555555"/>
          <w:sz w:val="17"/>
        </w:rPr>
        <w:t xml:space="preserve">Zitiervorschlag: Nr 23 PreisLS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https://recht.nulegal.eu/gesetze/PreisLS/nr-23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