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22 PreisLS — Verrechnung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Löhnen, Gehältern und kalkulatorischem Unternehmerlohn sind im Falle der Anwendung des Zuschlagsverfahrens gemäß Nummer 5 Abs. 2b zu unterscheiden</w:t>
      </w:r>
    </w:p>
    <w:p>
      <w:pPr>
        <w:ind w:left="420"/>
      </w:pPr>
      <w:r>
        <w:t xml:space="preserve">a) unmittelbar dem Kostenträger zurechenbare Kosten:Fertigungslöhne, Fertigungsgehälter und unmittelbar auf die Fertigung entfallender Unternehmerlohn (Unternehmerfertigungslohn),</w:t>
      </w:r>
    </w:p>
    <w:p>
      <w:pPr>
        <w:ind w:left="420"/>
      </w:pPr>
      <w:r>
        <w:t xml:space="preserve">b) mittelbar dem Kostenträger zurechenbare Kosten: Hilfslöhne, sonstige Gehälter und nicht unmittelbar auf die Fertigung entfallender Unternehmerlohn.</w:t>
      </w:r>
    </w:p>
    <w:p>
      <w:r>
        <w:t xml:space="preserve">(2) Der kalkulatorische Unternehmerlohn kann auch unter den kalkulatorischen Kostenarten ausgewiesen werden.</w:t>
      </w:r>
    </w:p>
    <w:p>
      <w:r>
        <w:t xml:space="preserve">(3) Die Kostenrechnung nach den Absätzen 1 und 2 soll nach einheitlichen Grundsätzen stetig durchgeführt werden.</w:t>
      </w:r>
    </w:p>
    <w:p>
      <w:r>
        <w:rPr>
          <w:color w:val="555555"/>
          <w:sz w:val="17"/>
        </w:rPr>
        <w:t xml:space="preserve">Zitiervorschlag: Nr 22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