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 PreisLS — Einrichtung und Ausgestaltung des Rechnungswesens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Auftragnehmer ist zur Führung eines geordneten Rechnungswesens verpflichtet. Dieses muß jederzeit die Feststellung der Kosten und Leistungen, die Abstimmung der Kosten- und Leistungsrechnung mit der Aufwands- und Ertragsrechnung sowie die Ermittlung von Preisen auf Grund von Selbstkosten ermöglichen.</w:t>
      </w:r>
    </w:p>
    <w:p>
      <w:r>
        <w:rPr>
          <w:color w:val="555555"/>
          <w:sz w:val="17"/>
        </w:rPr>
        <w:t xml:space="preserve">Zitiervorschlag: Nr 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