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18 PreisLS — Einstandspreis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Einstandspreis versteht sich im Regelfall frei Werk des Bestellers. Er beinhaltet den Preis der beschafften Güter einschließlich der mittelbaren Lieferkosten wie Fracht, Porto, Rollgeld und Verpackung.</w:t>
      </w:r>
    </w:p>
    <w:p>
      <w:r>
        <w:t xml:space="preserve">(2) Der Auftragnehmer hat beim Einkauf alle geschäftsüblichen Vorteile zugunsten des Auftraggebers wahrzunehmen.</w:t>
      </w:r>
    </w:p>
    <w:p>
      <w:r>
        <w:t xml:space="preserve">(3) Erzielte Mengenrabatte, Preisnachlässe, Gutschriften für Treue-, Jahres- und Umsatzrabatte, für zurückgesandte Verpackung und ähnliches sind zu belegen und bei Ermittlung des Einstandspreises abzusetzen, sofern nicht aus abrechnungstechnischen Gründen eine andersartige Verrechnung in den Selbstkosten erfolgt.</w:t>
      </w:r>
    </w:p>
    <w:p>
      <w:r>
        <w:rPr>
          <w:color w:val="555555"/>
          <w:sz w:val="17"/>
        </w:rPr>
        <w:t xml:space="preserve">Zitiervorschlag: Nr 18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