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16 PreisLS — Mengenermittlung</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Als Verbrauch ist die Einsatzmenge je Stoffart einschließlich des bei normalen Fertigungsbedingungen entstehenden Verarbeitungsabfalls (z.B. Verschnitt oder Späne) oder einschließlich des Zuschlags für Ausschuß beim Einbau anzusetzen. Verwertungsfähige Reststoffe sind durch Reststoffgutschriften zu erfassen.</w:t>
      </w:r>
    </w:p>
    <w:p>
      <w:r>
        <w:t xml:space="preserve">(2) Soweit die Verbrauchsmengen durch Nachweise, Meßeinrichtungen oder dgl. erfaßt werden können, sind deren Angaben für den Mengenansatz maßgebend. Anderenfalls sind die Verbrauchsmengen durch andere objektive Maßstäbe, Stichproben oder dgl. zu ermitteln.</w:t>
      </w:r>
    </w:p>
    <w:p>
      <w:r>
        <w:t xml:space="preserve">(3) Die einzusetzenden Mengen sind in Vorkalkulationen aus Zeichnungen, Stücklisten, Rezepturvorschriften, Stoffbedarfszusammenstellungen oder dgl. in Nachkalkulationen aus Verbrauchsaufschreibungen oder dgl. zu ermitteln.</w:t>
      </w:r>
    </w:p>
    <w:p>
      <w:r>
        <w:rPr>
          <w:color w:val="555555"/>
          <w:sz w:val="17"/>
        </w:rPr>
        <w:t xml:space="preserve">Zitiervorschlag: Nr 16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