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14 PreisLS — Sonderbetriebsmittel</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(1) Sonderbetriebsmittel sind alle Arbeitsgeräte, die ausschließlich für die Fertigung des jeweiligen Liefergegenstands verwendet werden. Es gehören hierzu u.a. besondere Modelle, Gesenke, Schablonen, Schnitte und ähnliche Vorrichtungen, Sonderwerkzeuge und Lehren.</w:t>
      </w:r>
    </w:p>
    <w:p>
      <w:r>
        <w:t xml:space="preserve">(2) Die Kosten der Sonderbetriebsmittel sind, falls es sich um einen einmaligen Lieferauftrag handelt, einmalig abzugelten oder sonst mit angemessenen Tilgungsanteilen in den Kalkulationen der Liefergegenstände als Sonderkosten der Fertigung zu verrechnen.</w:t>
      </w:r>
    </w:p>
    <w:p>
      <w:r>
        <w:t xml:space="preserve">(3) Der Verlauf und Stand der Tilgung durch die auf Liefergegenstände verrechneten Anteile müssen nachweisbar sein.</w:t>
      </w:r>
    </w:p>
    <w:p>
      <w:r>
        <w:rPr>
          <w:color w:val="555555"/>
          <w:sz w:val="17"/>
        </w:rPr>
        <w:t xml:space="preserve">Zitiervorschlag: Nr 14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