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Nr 12 PreisLS — Auswärtige Bearbeitung</w:t>
      </w:r>
    </w:p>
    <w:p>
      <w:r>
        <w:rPr>
          <w:color w:val="555555"/>
          <w:sz w:val="18"/>
        </w:rPr>
        <w:t xml:space="preserve">Leitsätze für die Preisermittlung auf Grund von Selbstkosten (Anlage zur Verordnung PR Nr. 30/53 vom 21. November 1953)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auswärtige Bearbeitung ist entweder der Bezug von Zwischenerzeugnissen aus kostenlos beigestellten Stoffen oder die Übernahme einzelner Fertigungsvorgänge durch Fremdbetriebe (Lohnarbeiten) zu verstehen.</w:t>
      </w:r>
    </w:p>
    <w:p>
      <w:r>
        <w:t xml:space="preserve">(2) Werden betriebseigene Fertigungsstoffe in Fremdbetrieben bearbeitet, so sind die Kosten dieser Fremdleistung als gesonderte Kostenart zu verrechnen und in der Kalkulation gesondert auszuweisen. Das Gleiche gilt für Lohnarbeiten fremder Zulieferer.</w:t>
      </w:r>
    </w:p>
    <w:p>
      <w:r>
        <w:t xml:space="preserve">(3) Fertigungsgemeinkosten der werkseigenen Fertigungsstellen dürfen auf fremde Lohnarbeitskosten nicht in Ansatz gebracht werden.</w:t>
      </w:r>
    </w:p>
    <w:p>
      <w:r>
        <w:rPr>
          <w:color w:val="555555"/>
          <w:sz w:val="17"/>
        </w:rPr>
        <w:t xml:space="preserve">Zitiervorschlag: Nr 12 PreisLS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https://recht.nulegal.eu/gesetze/PreisLS/nr-12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