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11 PreisLS — Fertigungsstoffe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Fertigungsstoffe sind zu erfassen</w:t>
      </w:r>
    </w:p>
    <w:p>
      <w:pPr>
        <w:ind w:left="420"/>
      </w:pPr>
      <w:r>
        <w:t xml:space="preserve">a) Einsatz- und Fertigungsstoffe (Grundstoffe und Halbzeuge, die Bestandteile der Erzeugnisse werden),</w:t>
      </w:r>
    </w:p>
    <w:p>
      <w:pPr>
        <w:ind w:left="420"/>
      </w:pPr>
      <w:r>
        <w:t xml:space="preserve">b) Zwischenerzeugnisse (Erzeugnisse, die sich in Zwischenstufen der Fertigung ergeben oder solche Teile für die eigenen Erzeugnisse, die im Sinne des Fertigungsprogramms nicht selbständige, absatzbestimmte Fertigungserzeugnisse darstellen),</w:t>
      </w:r>
    </w:p>
    <w:p>
      <w:pPr>
        <w:ind w:left="420"/>
      </w:pPr>
      <w:r>
        <w:t xml:space="preserve">c) auswärts bezogene Fertigerzeugnisse (vollständig fertige Erzeugnisse, die auf Grund eigener oder fremder Zeichnungen, Entwürfe oder dgl. von fremden Betrieben gefertigt, jedoch mit eigenen Erzeugnissen fertigungstechnisch verbunden werden).</w:t>
      </w:r>
    </w:p>
    <w:p>
      <w:r>
        <w:t xml:space="preserve">(2) Auf Nummer 13 Absatz 3 wird verwiesen.</w:t>
      </w:r>
    </w:p>
    <w:p>
      <w:r>
        <w:rPr>
          <w:color w:val="555555"/>
          <w:sz w:val="17"/>
        </w:rPr>
        <w:t xml:space="preserve">Zitiervorschlag: Nr 11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