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10 PreisLS — Gliederung der Preiskalkulationen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 Beachtung von Nummer 2 und Nummer 4 Absatz 4 kann der Auftraggeber mit dem Auftragnehmer bestimmte Muster für Vor- und Nachkalkulationen vereinbaren.</w:t>
      </w:r>
    </w:p>
    <w:p>
      <w:r>
        <w:t xml:space="preserve">(2) Vor- und Nachkalkulationen sind in der Gliederung so aufeinander abzustimmen, daß Vergleiche möglich sind.</w:t>
      </w:r>
    </w:p>
    <w:p>
      <w:r>
        <w:t xml:space="preserve">(3) Unter Beachtung von Nummer 2 ist unbeschadet einer den Bedürfnissen einer prüfungsfähigen Preisermittlung entsprechenden, weitergehenden betriebsindividuellen Gliederung oder sonst vereinbarten Gliederung mindestens wie folgt nach Kalkulationsbereichen zu gliedern, soweit in den Absätzen 4 bis 6 nichts anderes bestimmt wird:</w:t>
      </w:r>
    </w:p>
    <w:p>
      <w:pPr>
        <w:ind w:left="420"/>
      </w:pPr>
      <w:r>
        <w:t xml:space="preserve">FertigungsstoffkostenFertigungskostenEntwicklungs- und EntwurfskostenVerwaltungskostenVertriebskostenSelbstkostenKalkulatorischer GewinnSelbstkostenpreis</w:t>
      </w:r>
    </w:p>
    <w:p>
      <w:r>
        <w:t xml:space="preserve">(4) Innerhalb der Kalkulationsbereiche sind Einzel- und Gemeinkosten getrennt auszuweisen, soweit dies nach dem angewandten Kalkulationsverfahren (vgl. Nummer 5 Absatz 2) möglich und branchenüblich ist. Innerhalb der Einzelkosten ist gegebenenfalls nach Fertigungs- und Sondereinzelkosten zu unterscheiden. Sonderkosten, die nach Abschnitt III ausgewiesen werden müssen, sind in den entsprechenden Kalkulationsbereichen aufzuführen.</w:t>
      </w:r>
    </w:p>
    <w:p>
      <w:r>
        <w:t xml:space="preserve">(5) Die Zwischensumme Herstellkosten ist an der Stelle einzuordnen, an der sie branche- oder betriebsüblich gezogen wird.</w:t>
      </w:r>
    </w:p>
    <w:p>
      <w:r>
        <w:t xml:space="preserve">(6) Soweit es die Wirtschaftlichkeit der Rechnungsführung erfordert, können folgende Gemeinkosten zusammengefaßt werden:</w:t>
      </w:r>
    </w:p>
    <w:p>
      <w:pPr>
        <w:ind w:left="420"/>
      </w:pPr>
      <w:r>
        <w:t xml:space="preserve">Stoffgemeinkosten und Fertigungsgemeinkosten,Verwaltungsgemeinkosten und Vertriebsgemeinkosten.</w:t>
      </w:r>
    </w:p>
    <w:p>
      <w:r>
        <w:t xml:space="preserve">(7) Läßt es die Kostenrechnung unter Beachtung der Grundsätze eines geordneten Rechnungswesens gemäß Nummer 2 zu, so kann sich die Nachkalkulation auf die Erfassung der Unterschiedsbeträge gegenüber der Vorkalkulation beschränken.</w:t>
      </w:r>
    </w:p>
    <w:p>
      <w:r>
        <w:t xml:space="preserve">(8) Bei Leistungen, die in gleicher oder ähnlicher Art vom Auftragnehmer bereits erstellt worden sind, kann die Preisermittlung aus den Nachkalkulationen unter Berücksichtigung eingetretener Kostenänderungen abgeleitet werden.</w:t>
      </w:r>
    </w:p>
    <w:p>
      <w:r>
        <w:rPr>
          <w:color w:val="555555"/>
          <w:sz w:val="17"/>
        </w:rPr>
        <w:t xml:space="preserve">Zitiervorschlag: Nr 10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