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PreisG</w:t>
      </w:r>
    </w:p>
    <w:p>
      <w:r>
        <w:rPr>
          <w:color w:val="555555"/>
          <w:sz w:val="18"/>
        </w:rPr>
        <w:t xml:space="preserve">Preisgesetz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Anordnungen des Direktors für Wirtschaft werden im Amtsblatt der Verwaltung für Wirtschaft verkündet.</w:t>
      </w:r>
    </w:p>
    <w:p>
      <w:r>
        <w:t xml:space="preserve">(2) Abweichend hiervon werden verkündet:</w:t>
      </w:r>
    </w:p>
    <w:p>
      <w:pPr>
        <w:ind w:left="420"/>
      </w:pPr>
      <w:r>
        <w:t xml:space="preserve">a) Tarife des Post- und Fernmeldewesens im Amtsblatt der Hauptverwaltung für das Post- und Fernmeldewesen des Vereinigten Wirtschaftsgebietes,</w:t>
      </w:r>
    </w:p>
    <w:p>
      <w:pPr>
        <w:ind w:left="420"/>
      </w:pPr>
      <w:r>
        <w:t xml:space="preserve">b) Eisenbahntarife im Tarif- und Verkehrsanzeiger der Eisenbahnen des öffentlichen Verkehrs,</w:t>
      </w:r>
    </w:p>
    <w:p>
      <w:pPr>
        <w:ind w:left="420"/>
      </w:pPr>
      <w:r>
        <w:t xml:space="preserve">c) Binnenschiffahrtstarife in den Binnenschiffahrtsnachrichten,</w:t>
      </w:r>
    </w:p>
    <w:p>
      <w:pPr>
        <w:ind w:left="420"/>
      </w:pPr>
      <w:r>
        <w:t xml:space="preserve">d) sonstige Verkehrstarife, die im Einvernehmen mit dem Direktor der Verwaltung für Verkehr erlassen werden, im Verkehrsblatt des Vereinigten Wirtschaftsgebietes.</w:t>
      </w:r>
    </w:p>
    <w:p>
      <w:r>
        <w:t xml:space="preserve">(3) Die nach den Absätzen 1 und 2 verkündeten Anordnungen hat der Direktor für Wirtschaft dem Wirtschaftsrat zur Kenntnis zu bringen.</w:t>
      </w:r>
    </w:p>
    <w:p>
      <w:r>
        <w:t xml:space="preserve">(4) Die Anordnungen und Tarife treten am Tage nach der Verkündung in Kraft, soweit nichts anderes bestimmt wird.</w:t>
      </w:r>
    </w:p>
    <w:p>
      <w:r>
        <w:rPr>
          <w:color w:val="555555"/>
          <w:sz w:val="17"/>
        </w:rPr>
        <w:t xml:space="preserve">Zitiervorschlag: § 6 PreisG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