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3 gilt auch für den Erlaß von Ausführungsanordnungen.</w:t>
      </w:r>
    </w:p>
    <w:p>
      <w:r>
        <w:t xml:space="preserve">(2) Der Direktor für Wirtschaft kann den Erlaß von Ausführungsanordnungen den obersten Landesbehörden übertragen.</w:t>
      </w:r>
    </w:p>
    <w:p>
      <w:r>
        <w:rPr>
          <w:color w:val="555555"/>
          <w:sz w:val="17"/>
        </w:rPr>
        <w:t xml:space="preserve">Zitiervorschlag: § 5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