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Anordnungen nach § 2 Abs. 2a erläßt der Direktor für Wirtschaft. Ist der Direktor einer anderen Verwaltung sachlich zuständig, so erfolgt die Anordnung auf seinen Vorschlag und im Einvernehmen mit ihm.</w:t>
      </w:r>
    </w:p>
    <w:p>
      <w:r>
        <w:t xml:space="preserve">(2) Kommt in dem Fall des Absatzes 1 innerhalb vier Wochen keine Einigung zustande, so entscheidet der Vorsitzende des Verwaltungsrates, der auch über die sachliche Zuständigkeit die Entscheidung trifft.</w:t>
      </w:r>
    </w:p>
    <w:p>
      <w:r>
        <w:rPr>
          <w:color w:val="555555"/>
          <w:sz w:val="17"/>
        </w:rPr>
        <w:t xml:space="preserve">Zitiervorschlag: § 3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